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Outset Medical,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001-39513</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20-0514392</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3052 Orchard Dr.,</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680" w:type="dxa"/>
            <w:vAlign w:val="bottom"/>
          </w:tcPr>
          <w:p>
            <w:pPr>
              <w:spacing w:after="0"/>
              <w:rPr>
                <w:sz w:val="19"/>
                <w:szCs w:val="19"/>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(669) 231-8200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OM</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June 14, 2026, Outset Medical, Inc., (the “Company”) entered into the Refresh Amendment (the “Amendment”) to the Purchasing Agreement with HCA Management Services, L.P. (“HCA”), dated May 1, 2020, as amended (collectively, the “Agreement”).</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terms of the Amendment, the parties have agreed, among other things, for HCA to refresh its existing fleet of Tablo Hemodialysis Systems by purchasing new Tablo Hemodialysis Systems commencing in 2026 through the end of 2028, for an aggregate contract value, net of rebates and allowances, of approximately $40 million. This committed capital purchase agreement also provides a console and consumables purchase framework that supports potential future growth beyond the HCA hospitals that have already adopted the hemodialysis in-sourcing model with Tablo.</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Amendment does not purport to be complete and is qualified in its entirety by reference to the Amendment, a copy of which is filed herewith as Exhibit 10.1 to this Current Report on Form 8-K and is incorporated by reference into this Item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is reiterating previously issued guidance for 2026, and plans to provide additional detail regarding the 2026 financial impact of the Amendment later in the year once it has visibility to the timing and ramp of the implementation.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(the “Securities Act”),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on Form 8-K contains forward-looking statements within the meaning of Section 27A of the Securities Act, and Section 21E of the Exchange Act. All statements other than statements of historical fact are forward-looking statements.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include, but are not limited to, statements about the Company’s possible or assumed future results of operations and financial position, including expectations regarding projected revenues, gross margin, operating expenses, capital expenditures, cash use, cash burn, cash position, profitability and outlook; statements regarding anticipated customer orders, refreshes, expansions or other business opportunities including the expected closing, timing, size, scope and benefits thereof; and statements regarding the Company’s overall business strategy, plans and objectives of management. Forward-looking statements are inherently subject to risks and uncertainties, some of which cannot be predicted or quantified. Factors that could cause actual results or other events to differ materially from those contemplated in this Current Report on Form 8-K can be found in the Risk Factors section of the Company’s public filings with the Securities and Exchange Commission, including its latest annual and quarterly reports.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56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5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right"/>
              <w:ind w:right="119"/>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10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Refresh Amendment to Purchasing Agreement by and between HCA Management Services, L.P. and Outset Medical, Inc., dated as of June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FF"/>
                <w:w w:val="95"/>
              </w:rPr>
              <w:t>15, 2026</w:t>
            </w:r>
          </w:p>
        </w:tc>
        <w:tc>
          <w:tcPr>
            <w:tcW w:w="9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04" w:lineRule="exact"/>
        <w:rPr>
          <w:sz w:val="20"/>
          <w:szCs w:val="20"/>
          <w:color w:val="auto"/>
        </w:rPr>
      </w:pPr>
    </w:p>
    <w:p>
      <w:pPr>
        <w:ind w:left="240" w:right="740" w:hanging="232"/>
        <w:spacing w:after="0" w:line="282"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 of Regulation S-K.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Gaeta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Renee Gaeta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left="1002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7" w:lineRule="exact"/>
        <w:rPr>
          <w:sz w:val="20"/>
          <w:szCs w:val="20"/>
          <w:color w:val="auto"/>
        </w:rPr>
      </w:pPr>
    </w:p>
    <w:p>
      <w:pPr>
        <w:jc w:val="both"/>
        <w:ind w:left="20" w:right="100" w:hanging="9"/>
        <w:spacing w:after="0" w:line="239" w:lineRule="auto"/>
        <w:rPr>
          <w:sz w:val="20"/>
          <w:szCs w:val="20"/>
          <w:color w:val="auto"/>
        </w:rPr>
      </w:pPr>
      <w:r>
        <w:rPr>
          <w:rFonts w:ascii="Times New Roman" w:cs="Times New Roman" w:eastAsia="Times New Roman" w:hAnsi="Times New Roman"/>
          <w:sz w:val="22"/>
          <w:szCs w:val="22"/>
          <w:color w:val="auto"/>
        </w:rPr>
        <w:t>CERTAIN CONFIDENTIAL PORTIONS OF THIS EXHIBIT HAVE BEEN OMITTED AND REPLACED WITH “[***]”. SUCH IDENTIFIED INFORMATION HAS BEEN EXCLUDED FROM THIS EXHIBIT BECAUSE IT IS BOTH (I) NOT MATERIAL AND (II) THE TYPE OF INFORMATION THAT THE REGISTRANT TREATS AS PRIVATE OR CONFIDENTIAL.</w:t>
      </w:r>
    </w:p>
    <w:p>
      <w:pPr>
        <w:spacing w:after="0" w:line="2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HCA Management Services, L.P.</w:t>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Refresh Amendment</w:t>
      </w:r>
    </w:p>
    <w:p>
      <w:pPr>
        <w:ind w:left="4200"/>
        <w:spacing w:after="0" w:line="230" w:lineRule="auto"/>
        <w:rPr>
          <w:sz w:val="20"/>
          <w:szCs w:val="20"/>
          <w:color w:val="auto"/>
        </w:rPr>
      </w:pPr>
      <w:r>
        <w:rPr>
          <w:rFonts w:ascii="Times New Roman" w:cs="Times New Roman" w:eastAsia="Times New Roman" w:hAnsi="Times New Roman"/>
          <w:sz w:val="22"/>
          <w:szCs w:val="22"/>
          <w:b w:val="1"/>
          <w:bCs w:val="1"/>
          <w:color w:val="auto"/>
        </w:rPr>
        <w:t>Vendor: Outset Medical, Inc.</w:t>
      </w:r>
    </w:p>
    <w:p>
      <w:pPr>
        <w:ind w:left="4620"/>
        <w:spacing w:after="0" w:line="231" w:lineRule="auto"/>
        <w:rPr>
          <w:sz w:val="20"/>
          <w:szCs w:val="20"/>
          <w:color w:val="auto"/>
        </w:rPr>
      </w:pPr>
      <w:r>
        <w:rPr>
          <w:rFonts w:ascii="Times New Roman" w:cs="Times New Roman" w:eastAsia="Times New Roman" w:hAnsi="Times New Roman"/>
          <w:sz w:val="22"/>
          <w:szCs w:val="22"/>
          <w:b w:val="1"/>
          <w:bCs w:val="1"/>
          <w:color w:val="auto"/>
        </w:rPr>
        <w:t>Agreement No. [***]</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auto"/>
        </w:rPr>
        <w:t>Agreement Effective Date: May 1, 2020</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Refresh Amendment Effective Date: June 15, 2026</w:t>
      </w:r>
    </w:p>
    <w:p>
      <w:pPr>
        <w:spacing w:after="0" w:line="209" w:lineRule="exact"/>
        <w:rPr>
          <w:sz w:val="20"/>
          <w:szCs w:val="20"/>
          <w:color w:val="auto"/>
        </w:rPr>
      </w:pPr>
    </w:p>
    <w:p>
      <w:pPr>
        <w:jc w:val="both"/>
        <w:ind w:firstLine="758"/>
        <w:spacing w:after="0" w:line="239" w:lineRule="auto"/>
        <w:rPr>
          <w:sz w:val="20"/>
          <w:szCs w:val="20"/>
          <w:color w:val="auto"/>
        </w:rPr>
      </w:pPr>
      <w:r>
        <w:rPr>
          <w:rFonts w:ascii="Times New Roman" w:cs="Times New Roman" w:eastAsia="Times New Roman" w:hAnsi="Times New Roman"/>
          <w:sz w:val="22"/>
          <w:szCs w:val="22"/>
          <w:color w:val="auto"/>
        </w:rPr>
        <w:t>As of the Refresh Amendment Effective Date above (“Refresh Amendment”), HCA Management Services, L.P., a Delaware limited partnership, having its principal place of business at 1100 Dr. Martin L. King, Jr. Blvd., Suite 1100, Nashville, TN 37203 (“HMS”), and Outset Medical, Inc. a Delaware Corporation, with a place of business at 3052 Orchard Drive, San Jose, CA 95134 (“Vendor”), agree as follows:</w:t>
      </w:r>
    </w:p>
    <w:p>
      <w:pPr>
        <w:spacing w:after="0" w:line="207" w:lineRule="exact"/>
        <w:rPr>
          <w:sz w:val="20"/>
          <w:szCs w:val="20"/>
          <w:color w:val="auto"/>
        </w:rPr>
      </w:pPr>
    </w:p>
    <w:p>
      <w:pPr>
        <w:jc w:val="both"/>
        <w:ind w:firstLine="758"/>
        <w:spacing w:after="0" w:line="258" w:lineRule="auto"/>
        <w:rPr>
          <w:sz w:val="20"/>
          <w:szCs w:val="20"/>
          <w:color w:val="auto"/>
        </w:rPr>
      </w:pPr>
      <w:r>
        <w:rPr>
          <w:rFonts w:ascii="Times New Roman" w:cs="Times New Roman" w:eastAsia="Times New Roman" w:hAnsi="Times New Roman"/>
          <w:sz w:val="22"/>
          <w:szCs w:val="22"/>
          <w:color w:val="auto"/>
        </w:rPr>
        <w:t>WHEREAS, HMS and Vendor are parties to the Purchasing Agreement dated May 1, 2020, for Tablo Hemodialysis, as amended, (“Agreement”);</w:t>
      </w:r>
    </w:p>
    <w:p>
      <w:pPr>
        <w:spacing w:after="0" w:line="145" w:lineRule="exact"/>
        <w:rPr>
          <w:sz w:val="20"/>
          <w:szCs w:val="20"/>
          <w:color w:val="auto"/>
        </w:rPr>
      </w:pPr>
    </w:p>
    <w:p>
      <w:pPr>
        <w:jc w:val="both"/>
        <w:ind w:firstLine="758"/>
        <w:spacing w:after="0" w:line="258" w:lineRule="auto"/>
        <w:rPr>
          <w:sz w:val="20"/>
          <w:szCs w:val="20"/>
          <w:color w:val="auto"/>
        </w:rPr>
      </w:pPr>
      <w:r>
        <w:rPr>
          <w:rFonts w:ascii="Times New Roman" w:cs="Times New Roman" w:eastAsia="Times New Roman" w:hAnsi="Times New Roman"/>
          <w:sz w:val="22"/>
          <w:szCs w:val="22"/>
          <w:color w:val="auto"/>
        </w:rPr>
        <w:t>WHEREAS, HMS and Vendor are parties to the HCA Extension Amendment dated September 23, 2025 (the “Extension Amendment”);</w:t>
      </w:r>
    </w:p>
    <w:p>
      <w:pPr>
        <w:spacing w:after="0" w:line="145" w:lineRule="exact"/>
        <w:rPr>
          <w:sz w:val="20"/>
          <w:szCs w:val="20"/>
          <w:color w:val="auto"/>
        </w:rPr>
      </w:pPr>
    </w:p>
    <w:p>
      <w:pPr>
        <w:ind w:right="100" w:firstLine="758"/>
        <w:spacing w:after="0" w:line="258" w:lineRule="auto"/>
        <w:rPr>
          <w:sz w:val="20"/>
          <w:szCs w:val="20"/>
          <w:color w:val="auto"/>
        </w:rPr>
      </w:pPr>
      <w:r>
        <w:rPr>
          <w:rFonts w:ascii="Times New Roman" w:cs="Times New Roman" w:eastAsia="Times New Roman" w:hAnsi="Times New Roman"/>
          <w:sz w:val="22"/>
          <w:szCs w:val="22"/>
          <w:color w:val="auto"/>
        </w:rPr>
        <w:t>WHEREAS, HMS and Vendor expect Facilities to purchase [***] Tablo Hemodialysis Consoles (“Refresh Consoles”) on or before December 31, 2028 (“Refresh Period”), and in accordance with the table below (“Refresh”);</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WHEREAS, Vendor desires to provide certain Products at the pricing set forth herein during the Refresh Period;</w:t>
      </w:r>
    </w:p>
    <w:p>
      <w:pPr>
        <w:spacing w:after="0" w:line="202" w:lineRule="exact"/>
        <w:rPr>
          <w:sz w:val="20"/>
          <w:szCs w:val="20"/>
          <w:color w:val="auto"/>
        </w:rPr>
      </w:pPr>
    </w:p>
    <w:p>
      <w:pPr>
        <w:ind w:firstLine="75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promises and the covenants set forth herein, the Parties do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 as follows, Refresh Amendment Effective Date set forth above.</w:t>
      </w:r>
    </w:p>
    <w:p>
      <w:pPr>
        <w:spacing w:after="0" w:line="140" w:lineRule="exact"/>
        <w:rPr>
          <w:sz w:val="20"/>
          <w:szCs w:val="20"/>
          <w:color w:val="auto"/>
        </w:rPr>
      </w:pPr>
    </w:p>
    <w:p>
      <w:pPr>
        <w:ind w:left="80" w:right="100" w:firstLine="722"/>
        <w:spacing w:after="0" w:line="258" w:lineRule="auto"/>
        <w:tabs>
          <w:tab w:leader="none" w:pos="10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capitalized terms in this Refresh Amendment shall have the meaning designated in the Agreement, unless otherwise expressly stated in this document.</w:t>
      </w:r>
    </w:p>
    <w:p>
      <w:pPr>
        <w:spacing w:after="0" w:line="144" w:lineRule="exact"/>
        <w:rPr>
          <w:rFonts w:ascii="Times New Roman" w:cs="Times New Roman" w:eastAsia="Times New Roman" w:hAnsi="Times New Roman"/>
          <w:sz w:val="22"/>
          <w:szCs w:val="22"/>
          <w:color w:val="auto"/>
        </w:rPr>
      </w:pPr>
    </w:p>
    <w:p>
      <w:pPr>
        <w:ind w:left="80" w:right="100" w:firstLine="722"/>
        <w:spacing w:after="0" w:line="258" w:lineRule="auto"/>
        <w:tabs>
          <w:tab w:leader="none" w:pos="10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The Extension Amendment is hereby replaced with this Refreh Amendment as of the Refresh Amendment Effective Date.</w:t>
      </w:r>
    </w:p>
    <w:p>
      <w:pPr>
        <w:spacing w:after="0" w:line="198" w:lineRule="exact"/>
        <w:rPr>
          <w:rFonts w:ascii="Times New Roman" w:cs="Times New Roman" w:eastAsia="Times New Roman" w:hAnsi="Times New Roman"/>
          <w:sz w:val="22"/>
          <w:szCs w:val="22"/>
          <w:color w:val="auto"/>
        </w:rPr>
      </w:pPr>
    </w:p>
    <w:p>
      <w:pPr>
        <w:ind w:left="80" w:right="100" w:firstLine="722"/>
        <w:spacing w:after="0" w:line="258" w:lineRule="auto"/>
        <w:tabs>
          <w:tab w:leader="none" w:pos="10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the Agreement is extended, with the Expiration Date listed in Exhibit B being changed to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1125220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80" w:right="100" w:firstLine="722"/>
        <w:spacing w:after="0" w:line="258" w:lineRule="auto"/>
        <w:tabs>
          <w:tab w:leader="none" w:pos="10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Refresh</w:t>
      </w:r>
      <w:r>
        <w:rPr>
          <w:rFonts w:ascii="Times New Roman" w:cs="Times New Roman" w:eastAsia="Times New Roman" w:hAnsi="Times New Roman"/>
          <w:sz w:val="22"/>
          <w:szCs w:val="22"/>
          <w:color w:val="auto"/>
        </w:rPr>
        <w:t>. Facilities must purchase [***] new Consoles on or before December 31, 2028 in accordance with the tables set forth below and the terms of the Agreement and this Refresh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149860</wp:posOffset>
            </wp:positionV>
            <wp:extent cx="12700" cy="313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130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149860</wp:posOffset>
            </wp:positionV>
            <wp:extent cx="12700" cy="313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13055"/>
                    </a:xfrm>
                    <a:prstGeom prst="rect">
                      <a:avLst/>
                    </a:prstGeom>
                    <a:noFill/>
                  </pic:spPr>
                </pic:pic>
              </a:graphicData>
            </a:graphic>
          </wp:anchor>
        </w:drawing>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6580" w:type="dxa"/>
            <w:vAlign w:val="bottom"/>
            <w:tcBorders>
              <w:top w:val="single" w:sz="8" w:color="auto"/>
            </w:tcBorders>
          </w:tcPr>
          <w:p>
            <w:pPr>
              <w:ind w:left="100"/>
              <w:spacing w:after="0" w:line="219" w:lineRule="exact"/>
              <w:rPr>
                <w:sz w:val="20"/>
                <w:szCs w:val="20"/>
                <w:color w:val="auto"/>
              </w:rPr>
            </w:pPr>
            <w:r>
              <w:rPr>
                <w:rFonts w:ascii="Times New Roman" w:cs="Times New Roman" w:eastAsia="Times New Roman" w:hAnsi="Times New Roman"/>
                <w:sz w:val="20"/>
                <w:szCs w:val="20"/>
                <w:b w:val="1"/>
                <w:bCs w:val="1"/>
                <w:color w:val="auto"/>
              </w:rPr>
              <w:t>Total Number of Tablo Hemodialysis</w:t>
            </w:r>
          </w:p>
        </w:tc>
        <w:tc>
          <w:tcPr>
            <w:tcW w:w="4420" w:type="dxa"/>
            <w:vAlign w:val="bottom"/>
            <w:tcBorders>
              <w:top w:val="single" w:sz="8" w:color="auto"/>
            </w:tcBorders>
          </w:tcPr>
          <w:p>
            <w:pPr>
              <w:ind w:left="80"/>
              <w:spacing w:after="0" w:line="219" w:lineRule="exact"/>
              <w:rPr>
                <w:sz w:val="20"/>
                <w:szCs w:val="20"/>
                <w:color w:val="auto"/>
              </w:rPr>
            </w:pPr>
            <w:r>
              <w:rPr>
                <w:rFonts w:ascii="Times New Roman" w:cs="Times New Roman" w:eastAsia="Times New Roman" w:hAnsi="Times New Roman"/>
                <w:sz w:val="20"/>
                <w:szCs w:val="20"/>
                <w:b w:val="1"/>
                <w:bCs w:val="1"/>
                <w:color w:val="auto"/>
              </w:rPr>
              <w:t>Purchase Price</w:t>
            </w:r>
          </w:p>
        </w:tc>
      </w:tr>
      <w:tr>
        <w:trPr>
          <w:trHeight w:val="253"/>
        </w:trPr>
        <w:tc>
          <w:tcPr>
            <w:tcW w:w="65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Consoles and Carts Purchased During Refresh Period</w:t>
            </w:r>
          </w:p>
        </w:tc>
        <w:tc>
          <w:tcPr>
            <w:tcW w:w="44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-297180</wp:posOffset>
            </wp:positionV>
            <wp:extent cx="8255" cy="796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796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40" w:type="dxa"/>
            <w:vAlign w:val="bottom"/>
            <w:tcBorders>
              <w:top w:val="single" w:sz="8" w:color="auto"/>
              <w:right w:val="single" w:sz="8" w:color="auto"/>
            </w:tcBorders>
          </w:tcPr>
          <w:p>
            <w:pPr>
              <w:spacing w:after="0"/>
              <w:rPr>
                <w:sz w:val="20"/>
                <w:szCs w:val="20"/>
                <w:color w:val="auto"/>
              </w:rPr>
            </w:pPr>
          </w:p>
        </w:tc>
        <w:tc>
          <w:tcPr>
            <w:tcW w:w="4620" w:type="dxa"/>
            <w:vAlign w:val="bottom"/>
            <w:tcBorders>
              <w:top w:val="single" w:sz="8" w:color="auto"/>
              <w:bottom w:val="single" w:sz="8" w:color="auto"/>
            </w:tcBorders>
          </w:tcPr>
          <w:p>
            <w:pPr>
              <w:jc w:val="right"/>
              <w:ind w:right="3976"/>
              <w:spacing w:after="0" w:line="240"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360" w:type="dxa"/>
            <w:vAlign w:val="bottom"/>
            <w:tcBorders>
              <w:top w:val="single" w:sz="8" w:color="auto"/>
              <w:bottom w:val="single" w:sz="8" w:color="auto"/>
            </w:tcBorders>
          </w:tcPr>
          <w:p>
            <w:pPr>
              <w:jc w:val="right"/>
              <w:ind w:right="3712"/>
              <w:spacing w:after="0" w:line="240"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620" w:type="dxa"/>
            <w:vAlign w:val="bottom"/>
            <w:tcBorders>
              <w:bottom w:val="single" w:sz="8" w:color="auto"/>
            </w:tcBorders>
          </w:tcPr>
          <w:p>
            <w:pPr>
              <w:jc w:val="right"/>
              <w:ind w:right="3976"/>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spacing w:after="0"/>
              <w:rPr>
                <w:sz w:val="20"/>
                <w:szCs w:val="20"/>
                <w:color w:val="auto"/>
              </w:rPr>
            </w:pPr>
          </w:p>
        </w:tc>
        <w:tc>
          <w:tcPr>
            <w:tcW w:w="4380" w:type="dxa"/>
            <w:vAlign w:val="bottom"/>
            <w:tcBorders>
              <w:bottom w:val="single" w:sz="8" w:color="auto"/>
            </w:tcBorders>
            <w:gridSpan w:val="2"/>
          </w:tcPr>
          <w:p>
            <w:pPr>
              <w:jc w:val="right"/>
              <w:ind w:right="37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620" w:type="dxa"/>
            <w:vAlign w:val="bottom"/>
            <w:tcBorders>
              <w:bottom w:val="single" w:sz="8" w:color="auto"/>
            </w:tcBorders>
          </w:tcPr>
          <w:p>
            <w:pPr>
              <w:jc w:val="right"/>
              <w:ind w:right="3976"/>
              <w:spacing w:after="0" w:line="237"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right w:val="single" w:sz="8" w:color="auto"/>
            </w:tcBorders>
          </w:tcPr>
          <w:p>
            <w:pPr>
              <w:spacing w:after="0"/>
              <w:rPr>
                <w:sz w:val="20"/>
                <w:szCs w:val="20"/>
                <w:color w:val="auto"/>
              </w:rPr>
            </w:pPr>
          </w:p>
        </w:tc>
        <w:tc>
          <w:tcPr>
            <w:tcW w:w="4380" w:type="dxa"/>
            <w:vAlign w:val="bottom"/>
            <w:tcBorders>
              <w:bottom w:val="single" w:sz="8" w:color="auto"/>
            </w:tcBorders>
            <w:gridSpan w:val="2"/>
          </w:tcPr>
          <w:p>
            <w:pPr>
              <w:jc w:val="right"/>
              <w:ind w:right="3712"/>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20" w:type="dxa"/>
            <w:vAlign w:val="bottom"/>
          </w:tcPr>
          <w:p>
            <w:pPr>
              <w:jc w:val="right"/>
              <w:ind w:right="4036"/>
              <w:spacing w:after="0"/>
              <w:rPr>
                <w:sz w:val="20"/>
                <w:szCs w:val="20"/>
                <w:color w:val="auto"/>
              </w:rPr>
            </w:pPr>
            <w:r>
              <w:rPr>
                <w:rFonts w:ascii="Times New Roman" w:cs="Times New Roman" w:eastAsia="Times New Roman" w:hAnsi="Times New Roman"/>
                <w:sz w:val="22"/>
                <w:szCs w:val="22"/>
                <w:color w:val="auto"/>
                <w:w w:val="78"/>
              </w:rPr>
              <w:t>*[***]</w:t>
            </w: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gridSpan w:val="3"/>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shd w:val="clear" w:color="auto" w:fill="000000"/>
          </w:tcPr>
          <w:p>
            <w:pPr>
              <w:spacing w:after="0"/>
              <w:rPr>
                <w:sz w:val="13"/>
                <w:szCs w:val="13"/>
                <w:color w:val="auto"/>
              </w:rPr>
            </w:pPr>
          </w:p>
        </w:tc>
        <w:tc>
          <w:tcPr>
            <w:tcW w:w="40" w:type="dxa"/>
            <w:vAlign w:val="bottom"/>
          </w:tcPr>
          <w:p>
            <w:pPr>
              <w:spacing w:after="0"/>
              <w:rPr>
                <w:sz w:val="13"/>
                <w:szCs w:val="13"/>
                <w:color w:val="auto"/>
              </w:rPr>
            </w:pPr>
          </w:p>
        </w:tc>
        <w:tc>
          <w:tcPr>
            <w:tcW w:w="462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8"/>
                <w:szCs w:val="18"/>
                <w:b w:val="1"/>
                <w:bCs w:val="1"/>
                <w:color w:val="auto"/>
              </w:rPr>
              <w:t>Purchase Period</w:t>
            </w:r>
          </w:p>
        </w:tc>
        <w:tc>
          <w:tcPr>
            <w:tcW w:w="6300" w:type="dxa"/>
            <w:vAlign w:val="bottom"/>
            <w:tcBorders>
              <w:right w:val="single" w:sz="8" w:color="auto"/>
            </w:tcBorders>
            <w:gridSpan w:val="3"/>
          </w:tcPr>
          <w:p>
            <w:pPr>
              <w:ind w:left="80"/>
              <w:spacing w:after="0" w:line="159" w:lineRule="exact"/>
              <w:rPr>
                <w:sz w:val="20"/>
                <w:szCs w:val="20"/>
                <w:color w:val="auto"/>
              </w:rPr>
            </w:pPr>
            <w:r>
              <w:rPr>
                <w:rFonts w:ascii="Times New Roman" w:cs="Times New Roman" w:eastAsia="Times New Roman" w:hAnsi="Times New Roman"/>
                <w:sz w:val="18"/>
                <w:szCs w:val="18"/>
                <w:b w:val="1"/>
                <w:bCs w:val="1"/>
                <w:color w:val="auto"/>
              </w:rPr>
              <w:t>Minimum Number of Refresh Consoles required to be purchased</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20" w:type="dxa"/>
            <w:vAlign w:val="bottom"/>
            <w:tcBorders>
              <w:bottom w:val="single" w:sz="8" w:color="auto"/>
              <w:right w:val="single" w:sz="8" w:color="auto"/>
            </w:tcBorders>
          </w:tcPr>
          <w:p>
            <w:pPr>
              <w:spacing w:after="0"/>
              <w:rPr>
                <w:sz w:val="23"/>
                <w:szCs w:val="23"/>
                <w:color w:val="auto"/>
              </w:rPr>
            </w:pPr>
          </w:p>
        </w:tc>
        <w:tc>
          <w:tcPr>
            <w:tcW w:w="63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during the Purchase Period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0" w:type="dxa"/>
            <w:vAlign w:val="bottom"/>
            <w:tcBorders>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January 1, 2026 – </w:t>
            </w:r>
            <w:r>
              <w:rPr>
                <w:rFonts w:ascii="Times New Roman" w:cs="Times New Roman" w:eastAsia="Times New Roman" w:hAnsi="Times New Roman"/>
                <w:sz w:val="21"/>
                <w:szCs w:val="21"/>
                <w:color w:val="auto"/>
              </w:rPr>
              <w:t>[***]</w:t>
            </w:r>
          </w:p>
        </w:tc>
        <w:tc>
          <w:tcPr>
            <w:tcW w:w="1920" w:type="dxa"/>
            <w:vAlign w:val="bottom"/>
            <w:tcBorders>
              <w:bottom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4660" w:type="dxa"/>
            <w:vAlign w:val="bottom"/>
            <w:tcBorders>
              <w:bottom w:val="single" w:sz="8" w:color="auto"/>
              <w:right w:val="single" w:sz="8" w:color="auto"/>
            </w:tcBorders>
            <w:gridSpan w:val="2"/>
          </w:tcPr>
          <w:p>
            <w:pPr>
              <w:ind w:left="60"/>
              <w:spacing w:after="0" w:line="250"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Borders>
              <w:bottom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tcPr>
          <w:p>
            <w:pPr>
              <w:spacing w:after="0"/>
              <w:rPr>
                <w:sz w:val="21"/>
                <w:szCs w:val="21"/>
                <w:color w:val="auto"/>
              </w:rPr>
            </w:pPr>
          </w:p>
        </w:tc>
        <w:tc>
          <w:tcPr>
            <w:tcW w:w="4360" w:type="dxa"/>
            <w:vAlign w:val="bottom"/>
            <w:tcBorders>
              <w:bottom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Borders>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December 31, 2028</w:t>
            </w:r>
          </w:p>
        </w:tc>
        <w:tc>
          <w:tcPr>
            <w:tcW w:w="1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Borders>
              <w:bottom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4660" w:type="dxa"/>
            <w:vAlign w:val="bottom"/>
            <w:gridSpan w:val="2"/>
          </w:tcPr>
          <w:p>
            <w:pPr>
              <w:jc w:val="right"/>
              <w:ind w:right="4116"/>
              <w:spacing w:after="0"/>
              <w:rPr>
                <w:sz w:val="20"/>
                <w:szCs w:val="20"/>
                <w:color w:val="auto"/>
              </w:rPr>
            </w:pPr>
            <w:r>
              <w:rPr>
                <w:rFonts w:ascii="Times New Roman" w:cs="Times New Roman" w:eastAsia="Times New Roman" w:hAnsi="Times New Roman"/>
                <w:sz w:val="22"/>
                <w:szCs w:val="22"/>
                <w:color w:val="auto"/>
                <w:w w:val="87"/>
              </w:rPr>
              <w:t>*</w:t>
            </w:r>
            <w:r>
              <w:rPr>
                <w:rFonts w:ascii="Times New Roman" w:cs="Times New Roman" w:eastAsia="Times New Roman" w:hAnsi="Times New Roman"/>
                <w:sz w:val="17"/>
                <w:szCs w:val="17"/>
                <w:color w:val="auto"/>
                <w:w w:val="87"/>
              </w:rPr>
              <w:t>[***]</w:t>
            </w: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80" w:right="100" w:firstLine="722"/>
        <w:spacing w:after="0" w:line="244" w:lineRule="auto"/>
        <w:tabs>
          <w:tab w:leader="none" w:pos="10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Trade-In</w:t>
      </w:r>
      <w:r>
        <w:rPr>
          <w:rFonts w:ascii="Times New Roman" w:cs="Times New Roman" w:eastAsia="Times New Roman" w:hAnsi="Times New Roman"/>
          <w:sz w:val="22"/>
          <w:szCs w:val="22"/>
          <w:color w:val="auto"/>
        </w:rPr>
        <w:t>. Vendor will provide a [***] credit for each Existing Console returned to Vendor and replaced with a Refresh Console during the prior to December 31, 2028 (“Trade-In”). Such Trade-In amount will be credited on the invoice of the purchased Refresh Console(s).</w:t>
      </w:r>
    </w:p>
    <w:p>
      <w:pPr>
        <w:spacing w:after="0" w:line="159" w:lineRule="exact"/>
        <w:rPr>
          <w:rFonts w:ascii="Times New Roman" w:cs="Times New Roman" w:eastAsia="Times New Roman" w:hAnsi="Times New Roman"/>
          <w:sz w:val="22"/>
          <w:szCs w:val="22"/>
          <w:color w:val="auto"/>
        </w:rPr>
      </w:pPr>
    </w:p>
    <w:p>
      <w:pPr>
        <w:ind w:left="1020" w:hanging="174"/>
        <w:spacing w:after="0"/>
        <w:tabs>
          <w:tab w:leader="none" w:pos="10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Rebates.</w:t>
      </w:r>
      <w:r>
        <w:rPr>
          <w:rFonts w:ascii="Times New Roman" w:cs="Times New Roman" w:eastAsia="Times New Roman" w:hAnsi="Times New Roman"/>
          <w:sz w:val="22"/>
          <w:szCs w:val="22"/>
          <w:color w:val="auto"/>
        </w:rPr>
        <w:t xml:space="preserve"> Nothing herein shall discontinue or amend a Rebate program already in effect as of [***].</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Additional Rebates</w:t>
      </w:r>
      <w:r>
        <w:rPr>
          <w:rFonts w:ascii="Times New Roman" w:cs="Times New Roman" w:eastAsia="Times New Roman" w:hAnsi="Times New Roman"/>
          <w:sz w:val="22"/>
          <w:szCs w:val="22"/>
          <w:color w:val="auto"/>
        </w:rPr>
        <w:t>. Rebates will be paid [***].</w:t>
      </w:r>
    </w:p>
    <w:p>
      <w:pPr>
        <w:spacing w:after="0" w:line="193" w:lineRule="exact"/>
        <w:rPr>
          <w:sz w:val="20"/>
          <w:szCs w:val="20"/>
          <w:color w:val="auto"/>
        </w:rPr>
      </w:pPr>
    </w:p>
    <w:p>
      <w:pPr>
        <w:ind w:left="1020" w:hanging="174"/>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020" w:hanging="174"/>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Services</w:t>
      </w:r>
      <w:r>
        <w:rPr>
          <w:rFonts w:ascii="Times New Roman" w:cs="Times New Roman" w:eastAsia="Times New Roman" w:hAnsi="Times New Roman"/>
          <w:sz w:val="22"/>
          <w:szCs w:val="22"/>
          <w:color w:val="auto"/>
        </w:rPr>
        <w:t>. [***].</w:t>
      </w:r>
    </w:p>
    <w:p>
      <w:pPr>
        <w:spacing w:after="0" w:line="188" w:lineRule="exact"/>
        <w:rPr>
          <w:rFonts w:ascii="Times New Roman" w:cs="Times New Roman" w:eastAsia="Times New Roman" w:hAnsi="Times New Roman"/>
          <w:sz w:val="22"/>
          <w:szCs w:val="22"/>
          <w:color w:val="auto"/>
        </w:rPr>
      </w:pPr>
    </w:p>
    <w:p>
      <w:pPr>
        <w:ind w:left="1020" w:hanging="174"/>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ANTI-KICKBACK  STATUTE   COMPLIANCE  AND    DISCOUNT</w:t>
      </w:r>
    </w:p>
    <w:p>
      <w:pPr>
        <w:spacing w:after="0" w:line="18" w:lineRule="exact"/>
        <w:rPr>
          <w:sz w:val="20"/>
          <w:szCs w:val="20"/>
          <w:color w:val="auto"/>
        </w:rPr>
      </w:pPr>
    </w:p>
    <w:p>
      <w:pPr>
        <w:jc w:val="both"/>
        <w:ind w:left="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REPORTING. </w:t>
      </w:r>
      <w:r>
        <w:rPr>
          <w:rFonts w:ascii="Times New Roman" w:cs="Times New Roman" w:eastAsia="Times New Roman" w:hAnsi="Times New Roman"/>
          <w:sz w:val="22"/>
          <w:szCs w:val="22"/>
          <w:color w:val="auto"/>
        </w:rPr>
        <w:t>The Parties acknowledge that the Rebates, discounts or other price adjustments may qualify as a “discount”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under 42 U.S.C. § 1320a-7b(b)(3)(A) (the discount exception to the Anti-Kickback Law) and/or 42 C.F.R. § 1001.952(h) (the discount safe harbor to the Anti-Kickback Law) (“Safe Harbor”). Each Party represents and warrants that:</w:t>
      </w:r>
    </w:p>
    <w:p>
      <w:pPr>
        <w:spacing w:after="0" w:line="205" w:lineRule="exact"/>
        <w:rPr>
          <w:sz w:val="20"/>
          <w:szCs w:val="20"/>
          <w:color w:val="auto"/>
        </w:rPr>
      </w:pPr>
    </w:p>
    <w:p>
      <w:pPr>
        <w:ind w:left="100" w:firstLine="641"/>
        <w:spacing w:after="0" w:line="258" w:lineRule="auto"/>
        <w:tabs>
          <w:tab w:leader="none" w:pos="109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discount or Rebate represents a bona fide discount and is not offered to induce or reward referrals or purchases of any items or services reimbursable under a Federal health care program;</w:t>
      </w:r>
    </w:p>
    <w:p>
      <w:pPr>
        <w:spacing w:after="0" w:line="185" w:lineRule="exact"/>
        <w:rPr>
          <w:rFonts w:ascii="Times New Roman" w:cs="Times New Roman" w:eastAsia="Times New Roman" w:hAnsi="Times New Roman"/>
          <w:sz w:val="22"/>
          <w:szCs w:val="22"/>
          <w:color w:val="auto"/>
        </w:rPr>
      </w:pPr>
    </w:p>
    <w:p>
      <w:pPr>
        <w:ind w:left="80" w:firstLine="662"/>
        <w:spacing w:after="0" w:line="258" w:lineRule="auto"/>
        <w:tabs>
          <w:tab w:leader="none" w:pos="10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Vendor shall disclose the discount or Rebate on the applicable invoice(s) or payment remittance in a manner sufficient to permit HMS and Facilities to meet their reporting obligations under the Safe Harbor;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jc w:val="both"/>
        <w:ind w:left="80" w:firstLine="662"/>
        <w:spacing w:after="0" w:line="244" w:lineRule="auto"/>
        <w:tabs>
          <w:tab w:leader="none" w:pos="102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HMS and Facilities agree that they shall fully and accurately report the discount or Rebate, and reflect the discount received under this Agreement, in their cost reports or claims submitted to any Federal health care program, as required under applicable laws and regulations;</w:t>
      </w:r>
    </w:p>
    <w:p>
      <w:pPr>
        <w:spacing w:after="0" w:line="200" w:lineRule="exact"/>
        <w:rPr>
          <w:rFonts w:ascii="Times New Roman" w:cs="Times New Roman" w:eastAsia="Times New Roman" w:hAnsi="Times New Roman"/>
          <w:sz w:val="22"/>
          <w:szCs w:val="22"/>
          <w:color w:val="auto"/>
        </w:rPr>
      </w:pPr>
    </w:p>
    <w:p>
      <w:pPr>
        <w:jc w:val="both"/>
        <w:ind w:left="80" w:firstLine="662"/>
        <w:spacing w:after="0" w:line="244" w:lineRule="auto"/>
        <w:tabs>
          <w:tab w:leader="none" w:pos="102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Parties shall retain documentation related to the discount or Rebate, including this Agreement, applicable invoices, and related communications, and shall make such documentation available to the Secretary of the U.S. Department of Health and Human Services and other government authorities upon request, in accordance with 42 C.F.R. § 1001.952(h)(3).</w:t>
      </w:r>
    </w:p>
    <w:p>
      <w:pPr>
        <w:spacing w:after="0" w:line="200" w:lineRule="exact"/>
        <w:rPr>
          <w:sz w:val="20"/>
          <w:szCs w:val="20"/>
          <w:color w:val="auto"/>
        </w:rPr>
      </w:pPr>
    </w:p>
    <w:p>
      <w:pPr>
        <w:ind w:left="80" w:firstLine="656"/>
        <w:spacing w:after="0" w:line="258" w:lineRule="auto"/>
        <w:rPr>
          <w:sz w:val="20"/>
          <w:szCs w:val="20"/>
          <w:color w:val="auto"/>
        </w:rPr>
      </w:pPr>
      <w:r>
        <w:rPr>
          <w:rFonts w:ascii="Times New Roman" w:cs="Times New Roman" w:eastAsia="Times New Roman" w:hAnsi="Times New Roman"/>
          <w:sz w:val="22"/>
          <w:szCs w:val="22"/>
          <w:color w:val="auto"/>
        </w:rPr>
        <w:t>The Parties agree to cooperate in good faith to ensure compliance with applicable Federal and State laws relating to discounts, and to amend this provision as necessary to conform with evolving legal or regulatory requirements.</w:t>
      </w:r>
    </w:p>
    <w:p>
      <w:pPr>
        <w:spacing w:after="0" w:line="185" w:lineRule="exact"/>
        <w:rPr>
          <w:sz w:val="20"/>
          <w:szCs w:val="20"/>
          <w:color w:val="auto"/>
        </w:rPr>
      </w:pPr>
    </w:p>
    <w:p>
      <w:pPr>
        <w:ind w:left="1200" w:hanging="434"/>
        <w:spacing w:after="0"/>
        <w:tabs>
          <w:tab w:leader="none" w:pos="12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 Stock Obligations</w:t>
      </w:r>
      <w:r>
        <w:rPr>
          <w:rFonts w:ascii="Times New Roman" w:cs="Times New Roman" w:eastAsia="Times New Roman" w:hAnsi="Times New Roman"/>
          <w:sz w:val="22"/>
          <w:szCs w:val="22"/>
          <w:color w:val="auto"/>
        </w:rPr>
        <w:t>. [***].</w:t>
      </w:r>
    </w:p>
    <w:p>
      <w:pPr>
        <w:spacing w:after="0" w:line="233" w:lineRule="exact"/>
        <w:rPr>
          <w:rFonts w:ascii="Times New Roman" w:cs="Times New Roman" w:eastAsia="Times New Roman" w:hAnsi="Times New Roman"/>
          <w:sz w:val="22"/>
          <w:szCs w:val="22"/>
          <w:color w:val="auto"/>
        </w:rPr>
      </w:pPr>
    </w:p>
    <w:p>
      <w:pPr>
        <w:jc w:val="both"/>
        <w:ind w:left="80" w:firstLine="677"/>
        <w:spacing w:after="0" w:line="244" w:lineRule="auto"/>
        <w:tabs>
          <w:tab w:leader="none" w:pos="118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Uptime Guarantee for New Consoles</w:t>
      </w:r>
      <w:r>
        <w:rPr>
          <w:rFonts w:ascii="Times New Roman" w:cs="Times New Roman" w:eastAsia="Times New Roman" w:hAnsi="Times New Roman"/>
          <w:sz w:val="22"/>
          <w:szCs w:val="22"/>
          <w:color w:val="auto"/>
        </w:rPr>
        <w:t>. For the duration of the Warranty Period and any subsequent Support Services Term, Vendor guarantees that Equipment purchased on or after the Effective Date of this Amendment will be available with a [***].</w:t>
      </w:r>
    </w:p>
    <w:p>
      <w:pPr>
        <w:spacing w:after="0" w:line="186" w:lineRule="exact"/>
        <w:rPr>
          <w:rFonts w:ascii="Times New Roman" w:cs="Times New Roman" w:eastAsia="Times New Roman" w:hAnsi="Times New Roman"/>
          <w:sz w:val="22"/>
          <w:szCs w:val="22"/>
          <w:color w:val="auto"/>
        </w:rPr>
      </w:pPr>
    </w:p>
    <w:p>
      <w:pPr>
        <w:jc w:val="both"/>
        <w:ind w:left="100" w:firstLine="751"/>
        <w:spacing w:after="0" w:line="244" w:lineRule="auto"/>
        <w:tabs>
          <w:tab w:leader="none" w:pos="1335"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Support Service Fee Payment</w:t>
      </w:r>
      <w:r>
        <w:rPr>
          <w:rFonts w:ascii="Times New Roman" w:cs="Times New Roman" w:eastAsia="Times New Roman" w:hAnsi="Times New Roman"/>
          <w:sz w:val="22"/>
          <w:szCs w:val="22"/>
          <w:color w:val="auto"/>
        </w:rPr>
        <w:t>. For any Support Services not included in this Agreement, Vendor will invoice annual Support Service fees [***]; such invoices shall be submitted [***] and the invoices will be due and payable [***] after the date of the invoice.</w:t>
      </w:r>
    </w:p>
    <w:p>
      <w:pPr>
        <w:spacing w:after="0" w:line="200" w:lineRule="exact"/>
        <w:rPr>
          <w:rFonts w:ascii="Times New Roman" w:cs="Times New Roman" w:eastAsia="Times New Roman" w:hAnsi="Times New Roman"/>
          <w:sz w:val="22"/>
          <w:szCs w:val="22"/>
          <w:color w:val="auto"/>
        </w:rPr>
      </w:pPr>
    </w:p>
    <w:p>
      <w:pPr>
        <w:ind w:left="100" w:firstLine="658"/>
        <w:spacing w:after="0" w:line="241" w:lineRule="auto"/>
        <w:tabs>
          <w:tab w:leader="none" w:pos="121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The Parties acknowledge and agree that HMS cannot exercise Section 13.2 (Termination without Cause) of the Agreement during the Refresh Period.</w:t>
      </w:r>
    </w:p>
    <w:p>
      <w:pPr>
        <w:spacing w:after="0" w:line="1" w:lineRule="exact"/>
        <w:rPr>
          <w:rFonts w:ascii="Times New Roman" w:cs="Times New Roman" w:eastAsia="Times New Roman" w:hAnsi="Times New Roman"/>
          <w:sz w:val="22"/>
          <w:szCs w:val="22"/>
          <w:color w:val="auto"/>
        </w:rPr>
      </w:pPr>
    </w:p>
    <w:p>
      <w:pPr>
        <w:ind w:right="100" w:firstLine="757"/>
        <w:spacing w:after="0" w:line="237" w:lineRule="auto"/>
        <w:tabs>
          <w:tab w:leader="none" w:pos="119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Exhibit A, Products and Pricing</w:t>
      </w:r>
      <w:r>
        <w:rPr>
          <w:rFonts w:ascii="Times New Roman" w:cs="Times New Roman" w:eastAsia="Times New Roman" w:hAnsi="Times New Roman"/>
          <w:sz w:val="22"/>
          <w:szCs w:val="22"/>
          <w:color w:val="auto"/>
        </w:rPr>
        <w:t>. Exhibit A, Products and Services with Prices to the Agreement is hereby deleted and replaced in its entirety with the revised Exhibit A attached hereto and incorporated herein.</w:t>
      </w:r>
    </w:p>
    <w:p>
      <w:pPr>
        <w:spacing w:after="0" w:line="394" w:lineRule="exact"/>
        <w:rPr>
          <w:rFonts w:ascii="Times New Roman" w:cs="Times New Roman" w:eastAsia="Times New Roman" w:hAnsi="Times New Roman"/>
          <w:sz w:val="22"/>
          <w:szCs w:val="22"/>
          <w:color w:val="auto"/>
        </w:rPr>
      </w:pPr>
    </w:p>
    <w:p>
      <w:pPr>
        <w:ind w:left="100" w:firstLine="658"/>
        <w:spacing w:after="0" w:line="258" w:lineRule="auto"/>
        <w:tabs>
          <w:tab w:leader="none" w:pos="1242"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Number</w:t>
      </w:r>
      <w:r>
        <w:rPr>
          <w:rFonts w:ascii="Times New Roman" w:cs="Times New Roman" w:eastAsia="Times New Roman" w:hAnsi="Times New Roman"/>
          <w:sz w:val="22"/>
          <w:szCs w:val="22"/>
          <w:color w:val="auto"/>
        </w:rPr>
        <w:t>. The Agreement Number, formerly [***], is herewith changed to Agreement Number [***], effective as June 15, 2026.</w:t>
      </w:r>
    </w:p>
    <w:p>
      <w:pPr>
        <w:spacing w:after="0" w:line="185" w:lineRule="exact"/>
        <w:rPr>
          <w:rFonts w:ascii="Times New Roman" w:cs="Times New Roman" w:eastAsia="Times New Roman" w:hAnsi="Times New Roman"/>
          <w:sz w:val="22"/>
          <w:szCs w:val="22"/>
          <w:color w:val="auto"/>
        </w:rPr>
      </w:pPr>
    </w:p>
    <w:p>
      <w:pPr>
        <w:ind w:left="100" w:firstLine="658"/>
        <w:spacing w:after="0" w:line="258" w:lineRule="auto"/>
        <w:tabs>
          <w:tab w:leader="none" w:pos="126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Changes</w:t>
      </w:r>
      <w:r>
        <w:rPr>
          <w:rFonts w:ascii="Times New Roman" w:cs="Times New Roman" w:eastAsia="Times New Roman" w:hAnsi="Times New Roman"/>
          <w:sz w:val="22"/>
          <w:szCs w:val="22"/>
          <w:color w:val="auto"/>
        </w:rPr>
        <w:t>. Except as expressly amended hereunder, the terms and conditions of the Agreement shall remain in full force and effect.</w:t>
      </w:r>
    </w:p>
    <w:p>
      <w:pPr>
        <w:spacing w:after="0" w:line="14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1975485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firstLine="758"/>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indicate their agreement to the terms of this amendment by the signatures of their authorized representatives.</w:t>
      </w:r>
    </w:p>
    <w:p>
      <w:pPr>
        <w:sectPr>
          <w:pgSz w:w="11900" w:h="16838" w:orient="portrait"/>
          <w:cols w:equalWidth="0" w:num="1">
            <w:col w:w="11220"/>
          </w:cols>
          <w:pgMar w:left="320" w:top="1003" w:right="359" w:bottom="1440" w:gutter="0" w:footer="0" w:header="0"/>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HCA Management Services,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230" w:lineRule="auto"/>
        <w:rPr>
          <w:sz w:val="20"/>
          <w:szCs w:val="20"/>
          <w:color w:val="auto"/>
        </w:rPr>
      </w:pPr>
      <w:r>
        <w:rPr>
          <w:rFonts w:ascii="Times New Roman" w:cs="Times New Roman" w:eastAsia="Times New Roman" w:hAnsi="Times New Roman"/>
          <w:sz w:val="22"/>
          <w:szCs w:val="22"/>
          <w:color w:val="auto"/>
        </w:rPr>
        <w:t>by HPG Enterprises,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Vendor: Outset Medical,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929" w:lineRule="exact"/>
        <w:rPr>
          <w:sz w:val="20"/>
          <w:szCs w:val="20"/>
          <w:color w:val="auto"/>
        </w:rPr>
      </w:pPr>
    </w:p>
    <w:p>
      <w:pPr>
        <w:sectPr>
          <w:pgSz w:w="11900" w:h="16838" w:orient="portrait"/>
          <w:cols w:equalWidth="0" w:num="2">
            <w:col w:w="3280" w:space="620"/>
            <w:col w:w="7320"/>
          </w:cols>
          <w:pgMar w:left="320" w:top="1003" w:right="35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HMS Signee: /s/ Todd Greener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Vendor Signee: /s/ Leslie Trigg</w:t>
      </w:r>
    </w:p>
    <w:p>
      <w:pPr>
        <w:spacing w:after="0" w:line="200" w:lineRule="exact"/>
        <w:rPr>
          <w:sz w:val="20"/>
          <w:szCs w:val="20"/>
          <w:color w:val="auto"/>
        </w:rPr>
      </w:pPr>
    </w:p>
    <w:p>
      <w:pPr>
        <w:sectPr>
          <w:pgSz w:w="11900" w:h="16838" w:orient="portrait"/>
          <w:cols w:equalWidth="0" w:num="2">
            <w:col w:w="5280" w:space="720"/>
            <w:col w:w="5220"/>
          </w:cols>
          <w:pgMar w:left="320" w:top="1003" w:right="3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HMS Signee Name: Todd Greener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Vendor Signee Name: Leslie Trigg</w:t>
      </w:r>
    </w:p>
    <w:p>
      <w:pPr>
        <w:spacing w:after="0" w:line="200" w:lineRule="exact"/>
        <w:rPr>
          <w:sz w:val="20"/>
          <w:szCs w:val="20"/>
          <w:color w:val="auto"/>
        </w:rPr>
      </w:pPr>
    </w:p>
    <w:p>
      <w:pPr>
        <w:sectPr>
          <w:pgSz w:w="11900" w:h="16838" w:orient="portrait"/>
          <w:cols w:equalWidth="0" w:num="2">
            <w:col w:w="5280" w:space="720"/>
            <w:col w:w="5220"/>
          </w:cols>
          <w:pgMar w:left="320" w:top="1003" w:right="3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HMS Signee Title: COO, HealthTrust Purchasing Group</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Vendor Signee Title: CEO</w:t>
      </w:r>
    </w:p>
    <w:p>
      <w:pPr>
        <w:spacing w:after="0" w:line="200" w:lineRule="exact"/>
        <w:rPr>
          <w:sz w:val="20"/>
          <w:szCs w:val="20"/>
          <w:color w:val="auto"/>
        </w:rPr>
      </w:pPr>
    </w:p>
    <w:p>
      <w:pPr>
        <w:sectPr>
          <w:pgSz w:w="11900" w:h="16838" w:orient="portrait"/>
          <w:cols w:equalWidth="0" w:num="2">
            <w:col w:w="5280" w:space="720"/>
            <w:col w:w="5220"/>
          </w:cols>
          <w:pgMar w:left="320" w:top="1003" w:right="3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HMS Signature Date: 6/14/2026</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Vendor Signature Date: 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4979035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720"/>
            <w:col w:w="5220"/>
          </w:cols>
          <w:pgMar w:left="320" w:top="1003" w:right="359" w:bottom="1440" w:gutter="0" w:footer="0" w:header="0"/>
          <w:type w:val="continuous"/>
        </w:sectPr>
      </w:pPr>
    </w:p>
    <w:bookmarkStart w:id="7" w:name="page8"/>
    <w:bookmarkEnd w:id="7"/>
    <w:p>
      <w:pPr>
        <w:spacing w:after="0" w:line="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1"/>
          <w:szCs w:val="21"/>
          <w:b w:val="1"/>
          <w:bCs w:val="1"/>
          <w:u w:val="single" w:color="auto"/>
          <w:color w:val="auto"/>
        </w:rPr>
        <w:t>Products and Services with Prices</w:t>
      </w:r>
    </w:p>
    <w:p>
      <w:pPr>
        <w:spacing w:after="0" w:line="20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1567180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lvl w:ilvl="1">
      <w:lvlJc w:val="left"/>
      <w:lvlText w:val="%2."/>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decimal"/>
      <w:start w:val="10"/>
    </w:lvl>
    <w:lvl w:ilvl="1">
      <w:lvlJc w:val="left"/>
      <w:lvlText w:val="%2."/>
      <w:numFmt w:val="decimal"/>
      <w:start w:val="12"/>
    </w:lvl>
    <w:lvl w:ilvl="2">
      <w:lvlJc w:val="left"/>
      <w:lvlText w:val="%3."/>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2026-06-17T15:13:18Z</dcterms:created>
  <dcterms:modified xsi:type="dcterms:W3CDTF">2026-06-17T15:13:18Z</dcterms:modified>
</cp:coreProperties>
</file>