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om-20260806.htm"/>
      <w:bookmarkStart w:id="1" w:name="ksom20260806"/>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 xml:space="preserve">Date of Report (Date of earliest event reported): </w:t>
      </w:r>
      <w:r>
        <w:rPr>
          <w:rFonts w:ascii="Times New Roman" w:hAnsi="Times New Roman"/>
          <w:color w:val="000000"/>
          <w:sz w:val="20"/>
        </w:rPr>
        <w:t xml:space="preserve">August 6, 2026 </w:t>
      </w:r>
    </w:p>
    <w:p>
      <w:pPr>
        <w:pStyle w:val="TextBody"/>
        <w:bidi w:val="0"/>
        <w:spacing w:before="180" w:after="283"/>
        <w:jc w:val="center"/>
        <w:rPr>
          <w:rFonts w:ascii="Times New Roman" w:hAnsi="Times New Roman"/>
          <w:sz w:val="20"/>
        </w:rPr>
      </w:pPr>
      <w:r>
        <w:rPr>
          <w:rFonts w:ascii="Times New Roman" w:hAnsi="Times New Roman"/>
          <w:b/>
          <w:color w:val="000000"/>
          <w:sz w:val="48"/>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001-39513</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20-0514392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3052 Orchard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Registrant’s Telephone Number, Including Area Code: (669) 231-8200</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6, 2026, Outset Medical, Inc. (the “Company”) issued a press release and will hold its second quarter 2026 earnings conference call announcing the Company’s financial results for the quarter ended June 30, 2026. A copy of the press release is furnished herewith as Exhibit 99.1 and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Item 2.02 and Exhibit 99.1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9088" w:type="dxa"/>
        <w:jc w:val="left"/>
        <w:tblInd w:w="0" w:type="dxa"/>
        <w:tblLayout w:type="fixed"/>
        <w:tblCellMar>
          <w:top w:w="28" w:type="dxa"/>
          <w:left w:w="28" w:type="dxa"/>
          <w:bottom w:w="28" w:type="dxa"/>
          <w:right w:w="28" w:type="dxa"/>
        </w:tblCellMar>
      </w:tblPr>
      <w:tblGrid>
        <w:gridCol w:w="706"/>
        <w:gridCol w:w="146"/>
        <w:gridCol w:w="823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99_1.htm">
              <w:r>
                <w:rPr>
                  <w:rStyle w:val="InternetLink"/>
                  <w:rFonts w:ascii="Times New Roman" w:hAnsi="Times New Roman"/>
                  <w:color w:val="0000FF"/>
                  <w:sz w:val="20"/>
                  <w:u w:val="single"/>
                </w:rPr>
                <w:t>Press Release entitled “Outset Medical Reports Second Quarter 2026 Results” dated August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Outset Medical, Inc.</w:t>
            </w:r>
          </w:p>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Renee Gaeta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Renee Gaeta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om-ex99_1.htm"/>
      <w:bookmarkStart w:id="3" w:name="ksomex99_1"/>
      <w:bookmarkEnd w:id="2"/>
      <w:bookmarkEnd w:id="3"/>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righ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Outset Medical Reports Second Quarter 2026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San Jose, CA – August 6, 2026 </w:t>
      </w:r>
      <w:r>
        <w:rPr>
          <w:rFonts w:ascii="Times New Roman" w:hAnsi="Times New Roman"/>
          <w:color w:val="000000"/>
          <w:sz w:val="20"/>
        </w:rPr>
        <w:t xml:space="preserve">– </w:t>
      </w:r>
      <w:r>
        <w:rPr>
          <w:rFonts w:ascii="Times New Roman" w:hAnsi="Times New Roman"/>
          <w:color w:val="000000"/>
          <w:sz w:val="22"/>
        </w:rPr>
        <w:t>Outset Medical, Inc. (Nasdaq: OM), a medical technology company pioneering a first-of-its-kind technology to improve clinical outcomes in dialysis with less cost and complexity, today reported financial results for the second quarter ended June 30, 2026.</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Second Quarter and Recent Highlights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revenue totaled $31.6 million, an increase of 1% compared to the prior-year period and an increase of 14% sequentially.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Recurring revenue, consisting of Tablo consumables and services, was $22.1 million, roughly even with the prior-year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Gross margin expanded to 42%, an increase of more than 400 basis points compared to the prior-year period.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cash used during the quarter was $9.5 million, resulting in a total cash, cash equivalents, short-term investments and restricted cash position of $151 million at quarter end.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Signed a three-year, $40 million agreement with HCA Healthcare to refresh the existing fleet of Tablo systems across the nation’s largest health system. </w:t>
      </w:r>
    </w:p>
    <w:p>
      <w:pPr>
        <w:pStyle w:val="TextBody"/>
        <w:bidi w:val="0"/>
        <w:spacing w:before="120" w:after="283"/>
        <w:jc w:val="left"/>
        <w:rPr>
          <w:color w:val="000000"/>
        </w:rPr>
      </w:pPr>
      <w:r>
        <w:rPr>
          <w:color w:val="000000"/>
        </w:rPr>
        <w:t>“</w:t>
      </w:r>
      <w:r>
        <w:rPr>
          <w:rFonts w:ascii="Times New Roman" w:hAnsi="Times New Roman"/>
          <w:color w:val="000000"/>
          <w:sz w:val="22"/>
        </w:rPr>
        <w:t>Second quarter results reflect continued progress in strengthening the foundation of our business while positioning Outset for the next phase of growth,” said Leslie Trigg, Chair and Chief Executive Officer. “During the quarter, we completed our highest number of successful new site installations in several years. We also signed our first refresh agreement, which enhances backlog visibility and marks an important milestone as we begin to capitalize on a significant refresh opportunity. By reshaping how dialysis care is delivered across a large market that needs better solutions, Outset is well positioned to accelerate adoption, drive long-term growth and advance toward profitability.”</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Second Quarter 2026 Financial Results</w:t>
      </w:r>
    </w:p>
    <w:p>
      <w:pPr>
        <w:pStyle w:val="TextBody"/>
        <w:bidi w:val="0"/>
        <w:jc w:val="left"/>
        <w:rPr>
          <w:rFonts w:ascii="Times New Roman" w:hAnsi="Times New Roman"/>
          <w:color w:val="000000"/>
          <w:sz w:val="22"/>
        </w:rPr>
      </w:pPr>
      <w:r>
        <w:rPr>
          <w:rFonts w:ascii="Times New Roman" w:hAnsi="Times New Roman"/>
          <w:color w:val="000000"/>
          <w:sz w:val="22"/>
        </w:rPr>
        <w:t>Revenue for the second quarter was $31.6 million, an increase of 1% compared to $31.4 million in the second quarter of 2025. Product revenue of $21.9 million decreased 5% from $23.1 million in the second quarter of 2025. Service and other revenue of $9.7 million increased 17% compared to $8.3 million in the second quarter of 2025. Recurring revenue from the sale of Tablo cartridges and service was $22.1 million, compared to $22.5 million in the prior-year period.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Gross profit of $13.3 million increased 12% from $11.9 million in the second quarter of 2025. Gross margin was 42.0%, compared to 37.8% in the second quarter of 2025. On a non-GAAP basis, gross margin reached 42.2%, as compared to 38.4% in the second quarter of 2025. Product gross profit was $10.1 million, compared to $11.3 million in the second quarter of 2025. Product gross margin was 46.1%, compared to 48.9% in the second quarter of 2025. Service and other gross profit was $3.2 million, compared to $0.6 million in the second quarter of 2025. Service and other gross margin was 32.6%, compared to 6.9% in the second quarter of 2025.</w:t>
      </w:r>
    </w:p>
    <w:p>
      <w:pPr>
        <w:pStyle w:val="TextBody"/>
        <w:bidi w:val="0"/>
        <w:spacing w:before="120" w:after="283"/>
        <w:jc w:val="both"/>
        <w:rPr>
          <w:rFonts w:ascii="Times New Roman" w:hAnsi="Times New Roman"/>
          <w:sz w:val="20"/>
        </w:rPr>
      </w:pPr>
      <w:r>
        <w:rPr>
          <w:rFonts w:ascii="Times New Roman" w:hAnsi="Times New Roman"/>
          <w:color w:val="000000"/>
          <w:sz w:val="22"/>
        </w:rPr>
        <w:t>Operating expenses of $29.0 million were roughly even with the prior-year period. Research and development (R&amp;D) expenses were $5.5 million, sales and marketing (S&amp;M) expenses were $12.2 million, and general and administrative (G&amp;A) expenses were $11.4 million. This compared to operating expenses of $28.7 million in the second quarter of 2025, including R&amp;D expenses of $5.3 million, S&amp;M expenses of $14.3 million, and G&amp;A expenses of $9.2 million.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Excluding stock-based compensation expense and litigation charges, non-GAAP operating expenses were $25.8 million, including R&amp;D expenses of $4.9 million, S&amp;M expenses of $11.7 million, and G&amp;A expenses of $9.2 million.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Net loss was $18.0 million compared to net loss of $18.5 million for the same period in 2025. On a non-GAAP basis, net loss was $14.7 million, which is relatively consistent with the same period in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Total cash, including restricted cash, cash equivalents and short-term investments, was $151.0 million as of June 30, 2026.</w:t>
      </w:r>
    </w:p>
    <w:p>
      <w:pPr>
        <w:pStyle w:val="TextBody"/>
        <w:bidi w:val="0"/>
        <w:spacing w:before="240" w:after="283"/>
        <w:jc w:val="both"/>
        <w:rPr>
          <w:rFonts w:ascii="Times New Roman" w:hAnsi="Times New Roman"/>
          <w:sz w:val="20"/>
        </w:rPr>
      </w:pPr>
      <w:r>
        <w:rPr>
          <w:rFonts w:ascii="Times New Roman" w:hAnsi="Times New Roman"/>
          <w:b/>
          <w:color w:val="000000"/>
          <w:sz w:val="22"/>
        </w:rPr>
        <w:t>2026 Financial Guidance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Outset reiterated its 2026 revenue guidance of $125 million to $130 million, a 5% to 9% increase over $119.5 million in 2025. The Company continues to expect non-GAAP gross margin to range between the low-40% to mid-40% range for the full year.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Conference Call Details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Outset will host a conference call today, August 6, 2026, at 1:30 p.m. PT / 4:30 p.m. ET to discuss second quarter results. Those interested in accessing the live or archived version of the conference call can visit the “Investors” section of the Outset Medical website at https://investors.outsetmedical.com. Those interested in participating in the call via telephone may</w:t>
      </w:r>
      <w:r>
        <w:rPr>
          <w:rFonts w:ascii="Times New Roman" w:hAnsi="Times New Roman"/>
          <w:color w:val="000000"/>
          <w:sz w:val="20"/>
        </w:rPr>
        <w:t xml:space="preserve"> </w:t>
      </w:r>
      <w:r>
        <w:rPr>
          <w:rFonts w:ascii="Times New Roman" w:hAnsi="Times New Roman"/>
          <w:color w:val="000000"/>
          <w:sz w:val="22"/>
        </w:rPr>
        <w:t>register online here. Once registered, participants will receive a dial-in number and unique PIN to join the call. Participants are encouraged to register more than 15 minutes before the start of the call.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Company may report non-GAAP results for gross profit/loss, gross margin, operating expenses, operating margins, net income/loss, basic and diluted net income/loss per share, other income/loss, and cash flows. These non-GAAP financial measures are in addition to, and not a substitute for or superior to, financial measures calculated in accordance with GAAP. As listed in the itemized reconciliations between GAAP and non-GAAP financial measures included in this press release, the Company’s GAAP financial measures include stock-based compensation expense and litigation charges incurred outside of the ordinary course of business in connection with the stockholder class action and relative derivative lawsuits, as disclosed in the Company’s latest annual and quarterly reports. Stock-based compensation is a non-cash expense. In addition, litigation charges related to the above-described matters are excluded because they constitute non-routine litigation costs, arise outside of the ordinary course of the Company’s business, and are not indicative of its recurring operating results or underlying performance trends. As such, management has excluded the effects of these items in non-GAAP measures to assist investors in analyzing and assessing past and future operating performance and period-to-period comparisons. There are limitations related to the use of non-GAAP financial measures because they are not prepared in accordance with GAAP, may exclude significant expenses required by GAAP to be recognized in the Company’s financial statements, and may not be comparable to non-GAAP financial measures used by other companies.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Appendix A of this press release.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press release contains forward-looking statements within the meaning of Section 27A of the Securities Act of 1933, as amended, and Section 21E of the Securities Exchange Act of 1934, as amended. All statements other than statements of historical fact are forward-looking statements. Forward-looking statements are based on management’s current assumptions and expectations of future events and trends, which affect or may affect the Company’s business, strategy, operations or financial performance, and actual results and other events may differ materially from those expressed or implied in such statements due to numerous risks and uncertainties. Forward-looking statements include, but are not limited to, statements about the Company’s possible or assumed future results of operations and financial position, including expectations regarding projected revenues, gross margin, operating expenses, capital expenditures, cash use, cash burn, cash position, profitability and outlook; statements about the sufficiency of the Company’s cash balances through cash-flow breakeven; statements regarding the anticipated impacts and benefits of the Company’s cost reduction actions, initiatives to optimize the commercial organization and improve forecasting and order visibility, and restructurings; statements regarding anticipated customer orders, refreshes, expansions or other business opportunities, including the expected closing, timing, size, scope and benefits thereof; statements regarding the Company’s overall business strategy, plans and objectives of management; statements regarding the anticipated launch and timing of product enhancements and new features, as well as new or expanded services, and the expected benefits, performance, and impact thereof; the Company’s expectations regarding the market sizes and growth potential for Tablo and the total addressable market opportunities for Tablo; continued execution of the Company’s initiatives designed to expand gross margins; the Company’s ability to respond to and resolve any reports, observations or other actions by the Food and Drug Administration or other regulators in a timely and effective manner; as well as the Company’s expectations regarding the impact of macroeconomic factors (including changes in tariff or trade laws and policies) on the Company, its customers and suppliers. Forward-looking statements are inherently subject to risks and uncertainties, some of which cannot be predicted or quantified. Factors that could cause actual results or other events to differ materially from those contemplated in this press release can be found in the Risk Factors section of the Company’s public filings with the Securities and Exchange Commission, including its latest annual and quarterly reports. Because forward-looking statements are inherently subject to risks and uncertainties, you should not rely on these forward-looking statements as predictions of future events. These forward-looking statements speak only as of their date and, except to the extent required by law, the Company undertakes no obligation to update these statements, whether as a result of any new information, future developments or otherwise.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About Outset Medical, Inc.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Outset is a medical technology company transforming the dialysis experience across the continuum of care with a first-of-its-kind technology. The Tablo® Hemodialysis System, FDA-cleared for use from hospital to home, is trusted by more than 1,000 U.S. healthcare facilities and has enabled millions of treatments delivered by thousands of nurses. Designed to reduce the cost and complexity of dialysis, Tablo combines water purification and on-demand dialysate production into a single, integrated system that connects seamlessly with Electronic Medical Record systems and a proprietary data analytics platform. This enterprise solution empowers providers to develop an in-house dialysis program where they are in control – enabling better operational, clinical, and financial outcomes. Outset is redefining what’s possible in kidney care through innovation, scale, and a relentless commitment to improving the lives of patients and the professionals who care for them. For more information, visit www.outsetmedical.com.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Investor Contact</w:t>
      </w:r>
    </w:p>
    <w:p>
      <w:pPr>
        <w:pStyle w:val="TextBody"/>
        <w:bidi w:val="0"/>
        <w:spacing w:before="0" w:after="240"/>
        <w:jc w:val="both"/>
        <w:rPr>
          <w:rFonts w:ascii="Times New Roman" w:hAnsi="Times New Roman"/>
          <w:color w:val="0000FF"/>
          <w:sz w:val="22"/>
          <w:u w:val="single"/>
        </w:rPr>
      </w:pPr>
      <w:r>
        <w:rPr>
          <w:rFonts w:ascii="Times New Roman" w:hAnsi="Times New Roman"/>
          <w:color w:val="0000FF"/>
          <w:sz w:val="22"/>
          <w:u w:val="single"/>
        </w:rPr>
        <w:t>Investors@outsetmedical.com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b/>
          <w:color w:val="000000"/>
          <w:sz w:val="22"/>
        </w:rPr>
      </w:pPr>
      <w:r>
        <w:rPr>
          <w:rFonts w:ascii="Times New Roman" w:hAnsi="Times New Roman"/>
          <w:b/>
          <w:color w:val="000000"/>
          <w:sz w:val="22"/>
        </w:rPr>
        <w:t>Condensed Statements of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70"/>
        <w:gridCol w:w="146"/>
        <w:gridCol w:w="196"/>
        <w:gridCol w:w="661"/>
        <w:gridCol w:w="166"/>
        <w:gridCol w:w="256"/>
        <w:gridCol w:w="146"/>
        <w:gridCol w:w="196"/>
        <w:gridCol w:w="661"/>
        <w:gridCol w:w="166"/>
        <w:gridCol w:w="256"/>
        <w:gridCol w:w="146"/>
        <w:gridCol w:w="196"/>
        <w:gridCol w:w="661"/>
        <w:gridCol w:w="166"/>
        <w:gridCol w:w="256"/>
        <w:gridCol w:w="146"/>
        <w:gridCol w:w="196"/>
        <w:gridCol w:w="661"/>
        <w:gridCol w:w="166"/>
        <w:gridCol w:w="691"/>
      </w:tblGrid>
      <w:tr>
        <w:trPr/>
        <w:tc>
          <w:tcPr>
            <w:tcW w:w="4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Cost of product revenue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Times New Roman" w:hAnsi="Times New Roman"/>
                <w:color w:val="000000"/>
                <w:sz w:val="18"/>
              </w:rPr>
              <w:t xml:space="preserve">Gross profit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Times New Roman" w:hAnsi="Times New Roman"/>
                <w:color w:val="000000"/>
                <w:sz w:val="18"/>
              </w:rPr>
              <w:t xml:space="preserve">Gross margin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Research and development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Sales and marketing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General and administrative </w:t>
            </w:r>
            <w:r>
              <w:rPr>
                <w:rFonts w:ascii="Times New Roman" w:hAnsi="Times New Roman"/>
                <w:color w:val="000000"/>
                <w:sz w:val="12"/>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47" w:type="dxa"/>
        <w:jc w:val="left"/>
        <w:tblInd w:w="0" w:type="dxa"/>
        <w:tblLayout w:type="fixed"/>
        <w:tblCellMar>
          <w:top w:w="28" w:type="dxa"/>
          <w:left w:w="28" w:type="dxa"/>
          <w:bottom w:w="28" w:type="dxa"/>
          <w:right w:w="28" w:type="dxa"/>
        </w:tblCellMar>
      </w:tblPr>
      <w:tblGrid>
        <w:gridCol w:w="3563"/>
        <w:gridCol w:w="162"/>
        <w:gridCol w:w="218"/>
        <w:gridCol w:w="669"/>
        <w:gridCol w:w="162"/>
        <w:gridCol w:w="285"/>
        <w:gridCol w:w="162"/>
        <w:gridCol w:w="218"/>
        <w:gridCol w:w="669"/>
        <w:gridCol w:w="162"/>
        <w:gridCol w:w="285"/>
        <w:gridCol w:w="162"/>
        <w:gridCol w:w="218"/>
        <w:gridCol w:w="669"/>
        <w:gridCol w:w="162"/>
        <w:gridCol w:w="285"/>
        <w:gridCol w:w="162"/>
        <w:gridCol w:w="218"/>
        <w:gridCol w:w="669"/>
        <w:gridCol w:w="146"/>
        <w:gridCol w:w="601"/>
      </w:tblGrid>
      <w:tr>
        <w:trPr/>
        <w:tc>
          <w:tcPr>
            <w:tcW w:w="35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100"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(1)</w:t>
            </w:r>
            <w:r>
              <w:rPr>
                <w:rFonts w:ascii="Times New Roman" w:hAnsi="Times New Roman"/>
                <w:color w:val="000000"/>
                <w:sz w:val="18"/>
              </w:rPr>
              <w:t>  Gross profit and gross margin by source consisted of the following: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3,173</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5,551</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gross profit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13,282</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margin</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gross margin</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00"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(2)</w:t>
            </w:r>
            <w:r>
              <w:rPr>
                <w:rFonts w:ascii="Times New Roman" w:hAnsi="Times New Roman"/>
                <w:color w:val="000000"/>
                <w:sz w:val="18"/>
              </w:rPr>
              <w:t>  Includes stock-based compensation expense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u w:val="single"/>
              </w:rPr>
            </w:pPr>
            <w:r>
              <w:rPr>
                <w:rFonts w:ascii="Times New Roman" w:hAnsi="Times New Roman"/>
                <w:color w:val="000000"/>
                <w:sz w:val="18"/>
                <w:u w:val="single"/>
              </w:rPr>
              <w:t>Stock-based compensation expense</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stock-based compensation expense</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00"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(3)</w:t>
            </w:r>
            <w:r>
              <w:rPr>
                <w:rFonts w:ascii="Times New Roman" w:hAnsi="Times New Roman"/>
                <w:color w:val="000000"/>
                <w:sz w:val="18"/>
              </w:rPr>
              <w:t>  Includes non-ordinary course litigation charges related to stockholder class action and related derivative lawsuits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u w:val="single"/>
              </w:rPr>
            </w:pPr>
            <w:r>
              <w:rPr>
                <w:rFonts w:ascii="Times New Roman" w:hAnsi="Times New Roman"/>
                <w:color w:val="000000"/>
                <w:sz w:val="18"/>
                <w:u w:val="single"/>
              </w:rPr>
              <w:t>Litigation charges</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litigation charges</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1"/>
        <w:gridCol w:w="146"/>
        <w:gridCol w:w="196"/>
        <w:gridCol w:w="886"/>
        <w:gridCol w:w="166"/>
        <w:gridCol w:w="146"/>
        <w:gridCol w:w="208"/>
        <w:gridCol w:w="944"/>
        <w:gridCol w:w="512"/>
      </w:tblGrid>
      <w:tr>
        <w:trPr/>
        <w:tc>
          <w:tcPr>
            <w:tcW w:w="7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133,940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28,329</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47,609</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250,883</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3,829</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4,670</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4,797</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264,496</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10,735</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9,433</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13,795</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37,630</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96,237</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137,544</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 $0.001 par value; 5,000 shares authorized, and no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$0.001 par value; 300,000 shares authorized as of June 30, 2026 and December 31, 2025; 18,797 and 18,169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1,298,138</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(1,171,376</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0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126,952</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264,496</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sz w:val="20"/>
        </w:rPr>
      </w:pPr>
      <w:r>
        <w:rPr>
          <w:rFonts w:ascii="Times New Roman" w:hAnsi="Times New Roman"/>
          <w:b/>
          <w:color w:val="000000"/>
          <w:sz w:val="22"/>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16"/>
        <w:gridCol w:w="227"/>
        <w:gridCol w:w="334"/>
        <w:gridCol w:w="1169"/>
        <w:gridCol w:w="263"/>
        <w:gridCol w:w="231"/>
        <w:gridCol w:w="334"/>
        <w:gridCol w:w="1336"/>
        <w:gridCol w:w="395"/>
      </w:tblGrid>
      <w:tr>
        <w:trPr/>
        <w:tc>
          <w:tcPr>
            <w:tcW w:w="59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(22,479</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38,835</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restricted cash at end of the period </w:t>
            </w:r>
            <w:r>
              <w:rPr>
                <w:rFonts w:ascii="Times New Roman" w:hAnsi="Times New Roman"/>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The following table provides a reconciliation of cash, cash equivalents and restricted cash reported within the accompanying condensed balance sheets that sum to the total of the amounts shown in the accompanying condensed statements of cash flows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35,005</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cash, cash equivalents and restricted cash</w:t>
            </w:r>
            <w:r>
              <w:rPr>
                <w:rFonts w:ascii="Times New Roman" w:hAnsi="Times New Roman"/>
                <w:color w:val="000000"/>
                <w:sz w:val="13"/>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The total cash, including restricted cash, cash equivalents and investment securities as of June 30, 2026 was $151.0 million; compared to $187.4 million as of June 30, 2025.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Appendix A</w:t>
      </w:r>
    </w:p>
    <w:p>
      <w:pPr>
        <w:pStyle w:val="TextBody"/>
        <w:bidi w:val="0"/>
        <w:jc w:val="center"/>
        <w:rPr>
          <w:rFonts w:ascii="Times New Roman" w:hAnsi="Times New Roman"/>
          <w:b/>
          <w:color w:val="000000"/>
          <w:sz w:val="22"/>
        </w:rPr>
      </w:pPr>
      <w:r>
        <w:rPr>
          <w:rFonts w:ascii="Times New Roman" w:hAnsi="Times New Roman"/>
          <w:b/>
          <w:color w:val="000000"/>
          <w:sz w:val="22"/>
        </w:rPr>
        <w:t>Outset Medical, Inc.</w:t>
      </w:r>
    </w:p>
    <w:p>
      <w:pPr>
        <w:pStyle w:val="TextBody"/>
        <w:bidi w:val="0"/>
        <w:jc w:val="center"/>
        <w:rPr>
          <w:rFonts w:ascii="Times New Roman" w:hAnsi="Times New Roman"/>
          <w:b/>
          <w:color w:val="000000"/>
          <w:sz w:val="22"/>
        </w:rPr>
      </w:pPr>
      <w:r>
        <w:rPr>
          <w:rFonts w:ascii="Times New Roman" w:hAnsi="Times New Roman"/>
          <w:b/>
          <w:color w:val="000000"/>
          <w:sz w:val="22"/>
        </w:rPr>
        <w:t>Results of Operations – Non-GAAP</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9356" w:type="dxa"/>
        <w:jc w:val="left"/>
        <w:tblInd w:w="0" w:type="dxa"/>
        <w:tblLayout w:type="fixed"/>
        <w:tblCellMar>
          <w:top w:w="28" w:type="dxa"/>
          <w:left w:w="28" w:type="dxa"/>
          <w:bottom w:w="28" w:type="dxa"/>
          <w:right w:w="28" w:type="dxa"/>
        </w:tblCellMar>
      </w:tblPr>
      <w:tblGrid>
        <w:gridCol w:w="3511"/>
        <w:gridCol w:w="146"/>
        <w:gridCol w:w="196"/>
        <w:gridCol w:w="661"/>
        <w:gridCol w:w="166"/>
        <w:gridCol w:w="256"/>
        <w:gridCol w:w="146"/>
        <w:gridCol w:w="196"/>
        <w:gridCol w:w="661"/>
        <w:gridCol w:w="166"/>
        <w:gridCol w:w="256"/>
        <w:gridCol w:w="146"/>
        <w:gridCol w:w="196"/>
        <w:gridCol w:w="661"/>
        <w:gridCol w:w="166"/>
        <w:gridCol w:w="256"/>
        <w:gridCol w:w="146"/>
        <w:gridCol w:w="196"/>
        <w:gridCol w:w="661"/>
        <w:gridCol w:w="166"/>
        <w:gridCol w:w="40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789"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between GAAP and non-GAAP net loss per share: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loss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89" w:type="dxa"/>
            <w:gridSpan w:val="1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between GAAP and non-GAAP net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net loss,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loss,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56" w:type="dxa"/>
            <w:gridSpan w:val="2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between GAAP and non-GAAP results of operations:</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GAAP total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Litigation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total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3448</Words>
  <Characters>18848</Characters>
  <CharactersWithSpaces>23179</CharactersWithSpaces>
  <Paragraphs>2502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